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C9BA3D">
      <w:pPr>
        <w:numPr>
          <w:ilvl w:val="0"/>
          <w:numId w:val="0"/>
        </w:numPr>
        <w:spacing w:line="440" w:lineRule="exact"/>
        <w:ind w:leftChars="-1"/>
        <w:jc w:val="both"/>
        <w:rPr>
          <w:rFonts w:hint="default" w:ascii="宋体" w:hAnsi="宋体" w:eastAsiaTheme="minorEastAsia"/>
          <w:b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/>
          <w:b/>
          <w:color w:val="auto"/>
          <w:sz w:val="24"/>
          <w:szCs w:val="24"/>
          <w:highlight w:val="none"/>
          <w:lang w:val="en-US" w:eastAsia="zh-CN"/>
        </w:rPr>
        <w:t xml:space="preserve">附件一：              </w:t>
      </w:r>
      <w:r>
        <w:rPr>
          <w:rFonts w:hint="eastAsia" w:ascii="宋体" w:hAnsi="宋体"/>
          <w:b/>
          <w:color w:val="auto"/>
          <w:sz w:val="32"/>
          <w:szCs w:val="32"/>
          <w:highlight w:val="none"/>
          <w:lang w:val="en-US" w:eastAsia="zh-CN"/>
        </w:rPr>
        <w:t xml:space="preserve">  2025年新生体检报价清单表</w:t>
      </w:r>
    </w:p>
    <w:p w14:paraId="3EED6BE3">
      <w:pPr>
        <w:pStyle w:val="11"/>
        <w:numPr>
          <w:ilvl w:val="0"/>
          <w:numId w:val="0"/>
        </w:numPr>
        <w:ind w:left="840" w:leftChars="0" w:right="210" w:rightChars="100"/>
        <w:rPr>
          <w:rFonts w:hint="eastAsia"/>
        </w:rPr>
      </w:pPr>
    </w:p>
    <w:tbl>
      <w:tblPr>
        <w:tblStyle w:val="9"/>
        <w:tblW w:w="10020" w:type="dxa"/>
        <w:tblInd w:w="-5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977"/>
        <w:gridCol w:w="1413"/>
        <w:gridCol w:w="4417"/>
        <w:gridCol w:w="1070"/>
        <w:gridCol w:w="1350"/>
      </w:tblGrid>
      <w:tr w14:paraId="214CC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noWrap w:val="0"/>
            <w:vAlign w:val="center"/>
          </w:tcPr>
          <w:p w14:paraId="115F11CD">
            <w:pPr>
              <w:pStyle w:val="6"/>
              <w:widowControl/>
              <w:spacing w:before="0" w:beforeAutospacing="0" w:after="0" w:afterAutospacing="0" w:line="360" w:lineRule="exact"/>
              <w:jc w:val="center"/>
              <w:rPr>
                <w:rFonts w:hint="eastAsia" w:ascii="新宋体" w:hAnsi="新宋体" w:eastAsia="新宋体" w:cs="新宋体"/>
                <w:b/>
                <w:bCs/>
                <w:color w:val="222222"/>
                <w:sz w:val="25"/>
                <w:szCs w:val="25"/>
                <w:shd w:val="clear" w:color="auto" w:fill="FFFFFF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color w:val="222222"/>
                <w:sz w:val="25"/>
                <w:szCs w:val="25"/>
                <w:shd w:val="clear" w:color="auto" w:fill="FFFFFF"/>
              </w:rPr>
              <w:t>序号</w:t>
            </w:r>
          </w:p>
        </w:tc>
        <w:tc>
          <w:tcPr>
            <w:tcW w:w="2390" w:type="dxa"/>
            <w:gridSpan w:val="2"/>
            <w:noWrap w:val="0"/>
            <w:vAlign w:val="center"/>
          </w:tcPr>
          <w:p w14:paraId="18E22A4E">
            <w:pPr>
              <w:pStyle w:val="6"/>
              <w:widowControl/>
              <w:spacing w:before="0" w:beforeAutospacing="0" w:after="0" w:afterAutospacing="0" w:line="360" w:lineRule="exact"/>
              <w:jc w:val="center"/>
              <w:rPr>
                <w:rFonts w:hint="eastAsia" w:ascii="新宋体" w:hAnsi="新宋体" w:eastAsia="新宋体" w:cs="新宋体"/>
                <w:b/>
                <w:bCs/>
                <w:color w:val="222222"/>
                <w:sz w:val="25"/>
                <w:szCs w:val="25"/>
                <w:shd w:val="clear" w:color="auto" w:fill="FFFFFF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color w:val="222222"/>
                <w:sz w:val="25"/>
                <w:szCs w:val="25"/>
                <w:shd w:val="clear" w:color="auto" w:fill="FFFFFF"/>
              </w:rPr>
              <w:t>检查项目</w:t>
            </w:r>
          </w:p>
        </w:tc>
        <w:tc>
          <w:tcPr>
            <w:tcW w:w="4417" w:type="dxa"/>
            <w:noWrap w:val="0"/>
            <w:vAlign w:val="center"/>
          </w:tcPr>
          <w:p w14:paraId="7E5D60A7">
            <w:pPr>
              <w:pStyle w:val="6"/>
              <w:widowControl/>
              <w:spacing w:before="0" w:beforeAutospacing="0" w:after="0" w:afterAutospacing="0" w:line="360" w:lineRule="exact"/>
              <w:jc w:val="center"/>
              <w:rPr>
                <w:rFonts w:hint="default" w:ascii="新宋体" w:hAnsi="新宋体" w:eastAsia="新宋体" w:cs="新宋体"/>
                <w:b/>
                <w:bCs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color w:val="222222"/>
                <w:sz w:val="25"/>
                <w:szCs w:val="25"/>
                <w:shd w:val="clear" w:color="auto" w:fill="FFFFFF"/>
              </w:rPr>
              <w:t>检查意义</w:t>
            </w:r>
            <w:r>
              <w:rPr>
                <w:rFonts w:hint="eastAsia" w:ascii="新宋体" w:hAnsi="新宋体" w:eastAsia="新宋体" w:cs="新宋体"/>
                <w:b/>
                <w:bCs/>
                <w:color w:val="FF0000"/>
                <w:sz w:val="22"/>
                <w:szCs w:val="22"/>
                <w:shd w:val="clear" w:color="auto" w:fill="FFFFFF"/>
                <w:lang w:eastAsia="zh-CN"/>
              </w:rPr>
              <w:t>（</w:t>
            </w:r>
            <w:r>
              <w:rPr>
                <w:rFonts w:hint="eastAsia" w:ascii="新宋体" w:hAnsi="新宋体" w:eastAsia="新宋体" w:cs="新宋体"/>
                <w:b/>
                <w:bCs/>
                <w:color w:val="FF0000"/>
                <w:sz w:val="22"/>
                <w:szCs w:val="22"/>
                <w:shd w:val="clear" w:color="auto" w:fill="FFFFFF"/>
                <w:lang w:val="en-US" w:eastAsia="zh-CN"/>
              </w:rPr>
              <w:t>参考，投标可修改）</w:t>
            </w:r>
          </w:p>
        </w:tc>
        <w:tc>
          <w:tcPr>
            <w:tcW w:w="1070" w:type="dxa"/>
            <w:noWrap w:val="0"/>
            <w:vAlign w:val="center"/>
          </w:tcPr>
          <w:p w14:paraId="5A4A8C72">
            <w:pPr>
              <w:pStyle w:val="6"/>
              <w:widowControl/>
              <w:spacing w:before="0" w:beforeAutospacing="0" w:after="0" w:afterAutospacing="0" w:line="360" w:lineRule="exact"/>
              <w:jc w:val="center"/>
              <w:rPr>
                <w:rFonts w:hint="eastAsia" w:ascii="新宋体" w:hAnsi="新宋体" w:eastAsia="新宋体" w:cs="新宋体"/>
                <w:b/>
                <w:bCs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单价</w:t>
            </w:r>
          </w:p>
        </w:tc>
        <w:tc>
          <w:tcPr>
            <w:tcW w:w="1350" w:type="dxa"/>
            <w:noWrap w:val="0"/>
            <w:vAlign w:val="center"/>
          </w:tcPr>
          <w:p w14:paraId="5DDFE516">
            <w:pPr>
              <w:pStyle w:val="6"/>
              <w:widowControl/>
              <w:spacing w:before="0" w:beforeAutospacing="0" w:after="0" w:afterAutospacing="0" w:line="360" w:lineRule="exact"/>
              <w:jc w:val="center"/>
              <w:rPr>
                <w:rFonts w:hint="eastAsia" w:ascii="新宋体" w:hAnsi="新宋体" w:eastAsia="新宋体" w:cs="新宋体"/>
                <w:b/>
                <w:bCs/>
                <w:color w:val="222222"/>
                <w:sz w:val="25"/>
                <w:szCs w:val="25"/>
                <w:shd w:val="clear" w:color="auto" w:fill="FFFFFF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color w:val="222222"/>
                <w:sz w:val="25"/>
                <w:szCs w:val="25"/>
                <w:shd w:val="clear" w:color="auto" w:fill="FFFFFF"/>
              </w:rPr>
              <w:t>备注</w:t>
            </w:r>
          </w:p>
        </w:tc>
      </w:tr>
      <w:tr w14:paraId="22CE1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noWrap w:val="0"/>
            <w:vAlign w:val="center"/>
          </w:tcPr>
          <w:p w14:paraId="59C7F42C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1</w:t>
            </w:r>
          </w:p>
        </w:tc>
        <w:tc>
          <w:tcPr>
            <w:tcW w:w="977" w:type="dxa"/>
            <w:vMerge w:val="restart"/>
            <w:noWrap w:val="0"/>
            <w:vAlign w:val="center"/>
          </w:tcPr>
          <w:p w14:paraId="22837F9C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内科</w:t>
            </w:r>
          </w:p>
          <w:p w14:paraId="7DADEBC1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46C77B1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血压（mmhg）</w:t>
            </w:r>
          </w:p>
        </w:tc>
        <w:tc>
          <w:tcPr>
            <w:tcW w:w="4417" w:type="dxa"/>
            <w:vMerge w:val="restart"/>
            <w:noWrap w:val="0"/>
            <w:vAlign w:val="center"/>
          </w:tcPr>
          <w:p w14:paraId="7375D59F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通过测量血压可评价血压是否正常，可初步筛查高血压病</w:t>
            </w:r>
          </w:p>
        </w:tc>
        <w:tc>
          <w:tcPr>
            <w:tcW w:w="1070" w:type="dxa"/>
            <w:noWrap w:val="0"/>
            <w:vAlign w:val="center"/>
          </w:tcPr>
          <w:p w14:paraId="3FCC6A9A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276DEF82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4EC1D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3" w:type="dxa"/>
            <w:noWrap w:val="0"/>
            <w:vAlign w:val="center"/>
          </w:tcPr>
          <w:p w14:paraId="7BFC954E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2</w:t>
            </w:r>
          </w:p>
        </w:tc>
        <w:tc>
          <w:tcPr>
            <w:tcW w:w="977" w:type="dxa"/>
            <w:vMerge w:val="continue"/>
            <w:noWrap w:val="0"/>
            <w:vAlign w:val="center"/>
          </w:tcPr>
          <w:p w14:paraId="070DC18F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62662F7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脉搏</w:t>
            </w:r>
          </w:p>
        </w:tc>
        <w:tc>
          <w:tcPr>
            <w:tcW w:w="4417" w:type="dxa"/>
            <w:vMerge w:val="continue"/>
            <w:noWrap w:val="0"/>
            <w:vAlign w:val="top"/>
          </w:tcPr>
          <w:p w14:paraId="5F3BAA38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23A96EA8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53142E2B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4C35C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noWrap w:val="0"/>
            <w:vAlign w:val="center"/>
          </w:tcPr>
          <w:p w14:paraId="70754EC3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3</w:t>
            </w:r>
          </w:p>
        </w:tc>
        <w:tc>
          <w:tcPr>
            <w:tcW w:w="977" w:type="dxa"/>
            <w:vMerge w:val="continue"/>
            <w:noWrap w:val="0"/>
            <w:vAlign w:val="center"/>
          </w:tcPr>
          <w:p w14:paraId="61692F7A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6017FCD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血管</w:t>
            </w:r>
          </w:p>
        </w:tc>
        <w:tc>
          <w:tcPr>
            <w:tcW w:w="4417" w:type="dxa"/>
            <w:vMerge w:val="restart"/>
            <w:noWrap w:val="0"/>
            <w:vAlign w:val="center"/>
          </w:tcPr>
          <w:p w14:paraId="5C749695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通过医师对人体视、触、叩、听等物理方法检查，了解心脏、肺部、肝脾、腹部、神经反射等是否正常。可筛查诊断：先天性心脏病、肺气肿、肺炎、肝硬化、肝炎、胆囊炎、脾肿大、肾炎等疾病。</w:t>
            </w:r>
          </w:p>
        </w:tc>
        <w:tc>
          <w:tcPr>
            <w:tcW w:w="1070" w:type="dxa"/>
            <w:noWrap w:val="0"/>
            <w:vAlign w:val="center"/>
          </w:tcPr>
          <w:p w14:paraId="14B7FC81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305EBA98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474DE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noWrap w:val="0"/>
            <w:vAlign w:val="center"/>
          </w:tcPr>
          <w:p w14:paraId="72159039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4</w:t>
            </w:r>
          </w:p>
        </w:tc>
        <w:tc>
          <w:tcPr>
            <w:tcW w:w="977" w:type="dxa"/>
            <w:vMerge w:val="continue"/>
            <w:noWrap w:val="0"/>
            <w:vAlign w:val="center"/>
          </w:tcPr>
          <w:p w14:paraId="5C4CAACD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1CE7A45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肺</w:t>
            </w:r>
          </w:p>
        </w:tc>
        <w:tc>
          <w:tcPr>
            <w:tcW w:w="4417" w:type="dxa"/>
            <w:vMerge w:val="continue"/>
            <w:noWrap w:val="0"/>
            <w:vAlign w:val="top"/>
          </w:tcPr>
          <w:p w14:paraId="6E3769DA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1E2D3CE7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7DE5AC1A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43208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noWrap w:val="0"/>
            <w:vAlign w:val="center"/>
          </w:tcPr>
          <w:p w14:paraId="0699BE8F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5</w:t>
            </w:r>
          </w:p>
        </w:tc>
        <w:tc>
          <w:tcPr>
            <w:tcW w:w="977" w:type="dxa"/>
            <w:vMerge w:val="continue"/>
            <w:noWrap w:val="0"/>
            <w:vAlign w:val="center"/>
          </w:tcPr>
          <w:p w14:paraId="3B9D14AF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56251A9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肝</w:t>
            </w:r>
          </w:p>
        </w:tc>
        <w:tc>
          <w:tcPr>
            <w:tcW w:w="4417" w:type="dxa"/>
            <w:vMerge w:val="continue"/>
            <w:noWrap w:val="0"/>
            <w:vAlign w:val="top"/>
          </w:tcPr>
          <w:p w14:paraId="48875A43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07C10308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128F9AEE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1ACCE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noWrap w:val="0"/>
            <w:vAlign w:val="center"/>
          </w:tcPr>
          <w:p w14:paraId="29F1C634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6</w:t>
            </w:r>
          </w:p>
        </w:tc>
        <w:tc>
          <w:tcPr>
            <w:tcW w:w="977" w:type="dxa"/>
            <w:vMerge w:val="continue"/>
            <w:noWrap w:val="0"/>
            <w:vAlign w:val="center"/>
          </w:tcPr>
          <w:p w14:paraId="65BBA78B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49ACC3B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脾</w:t>
            </w:r>
          </w:p>
        </w:tc>
        <w:tc>
          <w:tcPr>
            <w:tcW w:w="4417" w:type="dxa"/>
            <w:vMerge w:val="continue"/>
            <w:noWrap w:val="0"/>
            <w:vAlign w:val="top"/>
          </w:tcPr>
          <w:p w14:paraId="462E146A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457C3525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270CD64C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1A35E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noWrap w:val="0"/>
            <w:vAlign w:val="center"/>
          </w:tcPr>
          <w:p w14:paraId="5A803591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7</w:t>
            </w:r>
          </w:p>
        </w:tc>
        <w:tc>
          <w:tcPr>
            <w:tcW w:w="977" w:type="dxa"/>
            <w:vMerge w:val="continue"/>
            <w:noWrap w:val="0"/>
            <w:vAlign w:val="center"/>
          </w:tcPr>
          <w:p w14:paraId="728AE8F6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4739BF0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肾及神经系统</w:t>
            </w:r>
          </w:p>
        </w:tc>
        <w:tc>
          <w:tcPr>
            <w:tcW w:w="4417" w:type="dxa"/>
            <w:vMerge w:val="continue"/>
            <w:noWrap w:val="0"/>
            <w:vAlign w:val="top"/>
          </w:tcPr>
          <w:p w14:paraId="1D843108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4860A86A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6B2BC254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6C56C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93" w:type="dxa"/>
            <w:noWrap w:val="0"/>
            <w:vAlign w:val="center"/>
          </w:tcPr>
          <w:p w14:paraId="71CA360B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8</w:t>
            </w:r>
          </w:p>
        </w:tc>
        <w:tc>
          <w:tcPr>
            <w:tcW w:w="977" w:type="dxa"/>
            <w:vMerge w:val="continue"/>
            <w:noWrap w:val="0"/>
            <w:vAlign w:val="center"/>
          </w:tcPr>
          <w:p w14:paraId="713A3119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26715886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lang w:val="en-US" w:eastAsia="zh-CN" w:bidi="ar"/>
              </w:rPr>
              <w:t>心电图</w:t>
            </w:r>
          </w:p>
        </w:tc>
        <w:tc>
          <w:tcPr>
            <w:tcW w:w="4417" w:type="dxa"/>
            <w:noWrap w:val="0"/>
            <w:vAlign w:val="top"/>
          </w:tcPr>
          <w:p w14:paraId="15E84F08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用于心律失常（如早搏、传导障碍等）、心肌缺血、心肌梗塞、心房、心室肥大等诊断</w:t>
            </w:r>
          </w:p>
        </w:tc>
        <w:tc>
          <w:tcPr>
            <w:tcW w:w="1070" w:type="dxa"/>
            <w:noWrap w:val="0"/>
            <w:vAlign w:val="center"/>
          </w:tcPr>
          <w:p w14:paraId="262E6C3F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28E124A3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5B60F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noWrap w:val="0"/>
            <w:vAlign w:val="center"/>
          </w:tcPr>
          <w:p w14:paraId="60566D65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977" w:type="dxa"/>
            <w:vMerge w:val="restart"/>
            <w:noWrap w:val="0"/>
            <w:vAlign w:val="center"/>
          </w:tcPr>
          <w:p w14:paraId="478E9A4C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外科</w:t>
            </w:r>
          </w:p>
          <w:p w14:paraId="3AD6F108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2333842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身高(cm)</w:t>
            </w:r>
          </w:p>
        </w:tc>
        <w:tc>
          <w:tcPr>
            <w:tcW w:w="4417" w:type="dxa"/>
            <w:vMerge w:val="restart"/>
            <w:noWrap w:val="0"/>
            <w:vAlign w:val="center"/>
          </w:tcPr>
          <w:p w14:paraId="062E7BDC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通过测量身高、体重、可评价体重是否正常</w:t>
            </w:r>
          </w:p>
        </w:tc>
        <w:tc>
          <w:tcPr>
            <w:tcW w:w="1070" w:type="dxa"/>
            <w:noWrap w:val="0"/>
            <w:vAlign w:val="center"/>
          </w:tcPr>
          <w:p w14:paraId="5BE736A5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6D0CBE6F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32509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noWrap w:val="0"/>
            <w:vAlign w:val="center"/>
          </w:tcPr>
          <w:p w14:paraId="4E382771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default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977" w:type="dxa"/>
            <w:vMerge w:val="continue"/>
            <w:noWrap w:val="0"/>
            <w:vAlign w:val="center"/>
          </w:tcPr>
          <w:p w14:paraId="1C9785C6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3BA03F3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体重(kg)</w:t>
            </w:r>
          </w:p>
        </w:tc>
        <w:tc>
          <w:tcPr>
            <w:tcW w:w="4417" w:type="dxa"/>
            <w:vMerge w:val="continue"/>
            <w:noWrap w:val="0"/>
            <w:vAlign w:val="top"/>
          </w:tcPr>
          <w:p w14:paraId="04BC0B26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528D15BC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03D42273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2F729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noWrap w:val="0"/>
            <w:vAlign w:val="center"/>
          </w:tcPr>
          <w:p w14:paraId="2652023B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1</w:t>
            </w: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77" w:type="dxa"/>
            <w:vMerge w:val="continue"/>
            <w:noWrap w:val="0"/>
            <w:vAlign w:val="center"/>
          </w:tcPr>
          <w:p w14:paraId="3E86A4CC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0307D61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颈部</w:t>
            </w:r>
          </w:p>
        </w:tc>
        <w:tc>
          <w:tcPr>
            <w:tcW w:w="4417" w:type="dxa"/>
            <w:vMerge w:val="restart"/>
            <w:noWrap w:val="0"/>
            <w:vAlign w:val="center"/>
          </w:tcPr>
          <w:p w14:paraId="33B2E464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通过体检医师对人体皮肤、脊柱、四肢、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皮肤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等项的检查可筛查诊断：可筛选诊断皮肤病、淋巴结肿大、甲状腺炎、甲状腺肿、脊柱畸形、关节病变、肩周炎等疾病。</w:t>
            </w:r>
          </w:p>
        </w:tc>
        <w:tc>
          <w:tcPr>
            <w:tcW w:w="1070" w:type="dxa"/>
            <w:noWrap w:val="0"/>
            <w:vAlign w:val="center"/>
          </w:tcPr>
          <w:p w14:paraId="5B14CF88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56107B86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316F4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noWrap w:val="0"/>
            <w:vAlign w:val="center"/>
          </w:tcPr>
          <w:p w14:paraId="613BB8AF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1</w:t>
            </w: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977" w:type="dxa"/>
            <w:vMerge w:val="continue"/>
            <w:noWrap w:val="0"/>
            <w:vAlign w:val="center"/>
          </w:tcPr>
          <w:p w14:paraId="3827DAB6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77A36ED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脊柱</w:t>
            </w:r>
          </w:p>
        </w:tc>
        <w:tc>
          <w:tcPr>
            <w:tcW w:w="4417" w:type="dxa"/>
            <w:vMerge w:val="continue"/>
            <w:noWrap w:val="0"/>
            <w:vAlign w:val="top"/>
          </w:tcPr>
          <w:p w14:paraId="1CC44A1D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7635ED26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4C9C49D3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303C7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noWrap w:val="0"/>
            <w:vAlign w:val="center"/>
          </w:tcPr>
          <w:p w14:paraId="684A2A1D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1</w:t>
            </w: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977" w:type="dxa"/>
            <w:vMerge w:val="continue"/>
            <w:noWrap w:val="0"/>
            <w:vAlign w:val="center"/>
          </w:tcPr>
          <w:p w14:paraId="5251F0CB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4D8C67A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四肢及关节</w:t>
            </w:r>
          </w:p>
        </w:tc>
        <w:tc>
          <w:tcPr>
            <w:tcW w:w="4417" w:type="dxa"/>
            <w:vMerge w:val="continue"/>
            <w:noWrap w:val="0"/>
            <w:vAlign w:val="top"/>
          </w:tcPr>
          <w:p w14:paraId="29FA7AE6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17662C33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276043D8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4A634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noWrap w:val="0"/>
            <w:vAlign w:val="center"/>
          </w:tcPr>
          <w:p w14:paraId="6E8BEAB7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1</w:t>
            </w: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977" w:type="dxa"/>
            <w:vMerge w:val="continue"/>
            <w:noWrap w:val="0"/>
            <w:vAlign w:val="center"/>
          </w:tcPr>
          <w:p w14:paraId="7B21E851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7FF0553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皮肤</w:t>
            </w:r>
          </w:p>
        </w:tc>
        <w:tc>
          <w:tcPr>
            <w:tcW w:w="4417" w:type="dxa"/>
            <w:vMerge w:val="continue"/>
            <w:noWrap w:val="0"/>
            <w:vAlign w:val="top"/>
          </w:tcPr>
          <w:p w14:paraId="41D51AEC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26950ADD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47D24A98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02D26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noWrap w:val="0"/>
            <w:vAlign w:val="center"/>
          </w:tcPr>
          <w:p w14:paraId="25019EF8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1</w:t>
            </w: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977" w:type="dxa"/>
            <w:vMerge w:val="restart"/>
            <w:noWrap w:val="0"/>
            <w:vAlign w:val="center"/>
          </w:tcPr>
          <w:p w14:paraId="5D309A87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眼科</w:t>
            </w:r>
          </w:p>
          <w:p w14:paraId="5A809600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3766A18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视力</w:t>
            </w:r>
          </w:p>
        </w:tc>
        <w:tc>
          <w:tcPr>
            <w:tcW w:w="4417" w:type="dxa"/>
            <w:vMerge w:val="restart"/>
            <w:noWrap w:val="0"/>
            <w:vAlign w:val="center"/>
          </w:tcPr>
          <w:p w14:paraId="7FF14E4C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通过对视力、辨色力、结膜、角膜、眼睑、瞳孔、眼球运动功能的检查，可筛查：近视、远视、散光、色盲、沙眼、结膜炎、角膜炎等疾病。</w:t>
            </w:r>
          </w:p>
        </w:tc>
        <w:tc>
          <w:tcPr>
            <w:tcW w:w="1070" w:type="dxa"/>
            <w:noWrap w:val="0"/>
            <w:vAlign w:val="center"/>
          </w:tcPr>
          <w:p w14:paraId="0D250FF9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11FEE971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4029E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noWrap w:val="0"/>
            <w:vAlign w:val="center"/>
          </w:tcPr>
          <w:p w14:paraId="58C3715B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1</w:t>
            </w: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6</w:t>
            </w:r>
          </w:p>
        </w:tc>
        <w:tc>
          <w:tcPr>
            <w:tcW w:w="977" w:type="dxa"/>
            <w:vMerge w:val="continue"/>
            <w:noWrap w:val="0"/>
            <w:vAlign w:val="center"/>
          </w:tcPr>
          <w:p w14:paraId="786BF409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7FBF0A4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矫正视力</w:t>
            </w:r>
          </w:p>
        </w:tc>
        <w:tc>
          <w:tcPr>
            <w:tcW w:w="4417" w:type="dxa"/>
            <w:vMerge w:val="continue"/>
            <w:noWrap w:val="0"/>
            <w:vAlign w:val="top"/>
          </w:tcPr>
          <w:p w14:paraId="61B034D4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2C68FC29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2812DFD2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7A35F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93" w:type="dxa"/>
            <w:noWrap w:val="0"/>
            <w:vAlign w:val="center"/>
          </w:tcPr>
          <w:p w14:paraId="6968BAD9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1</w:t>
            </w: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977" w:type="dxa"/>
            <w:vMerge w:val="continue"/>
            <w:noWrap w:val="0"/>
            <w:vAlign w:val="center"/>
          </w:tcPr>
          <w:p w14:paraId="20B3FA97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7E546CA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色觉检查</w:t>
            </w:r>
          </w:p>
        </w:tc>
        <w:tc>
          <w:tcPr>
            <w:tcW w:w="4417" w:type="dxa"/>
            <w:vMerge w:val="continue"/>
            <w:noWrap w:val="0"/>
            <w:vAlign w:val="top"/>
          </w:tcPr>
          <w:p w14:paraId="4F0EC91B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48C69F1F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6BCE9EBF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6FE94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93" w:type="dxa"/>
            <w:noWrap w:val="0"/>
            <w:vAlign w:val="center"/>
          </w:tcPr>
          <w:p w14:paraId="68B6C937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1</w:t>
            </w: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8</w:t>
            </w:r>
          </w:p>
        </w:tc>
        <w:tc>
          <w:tcPr>
            <w:tcW w:w="977" w:type="dxa"/>
            <w:vMerge w:val="restart"/>
            <w:noWrap w:val="0"/>
            <w:vAlign w:val="center"/>
          </w:tcPr>
          <w:p w14:paraId="758110E7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五官科</w:t>
            </w:r>
          </w:p>
          <w:p w14:paraId="364DD8AC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739BF90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包括听力</w:t>
            </w:r>
          </w:p>
        </w:tc>
        <w:tc>
          <w:tcPr>
            <w:tcW w:w="4417" w:type="dxa"/>
            <w:vMerge w:val="restart"/>
            <w:noWrap w:val="0"/>
            <w:vAlign w:val="center"/>
          </w:tcPr>
          <w:p w14:paraId="0D99E779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通过对听力、外耳道、鼓膜、鼻窦、鼻腔、咽喉、扁桃体的检查，可筛查：中耳炎、耳鸣、耳聋、慢性中耳炎、慢性鼻炎、慢性鼻窦炎、变应性鼻炎、鼻出血，鼻中膈偏曲、鼻咽癌、咽炎、扁桃体炎等疾病。</w:t>
            </w:r>
          </w:p>
        </w:tc>
        <w:tc>
          <w:tcPr>
            <w:tcW w:w="1070" w:type="dxa"/>
            <w:noWrap w:val="0"/>
            <w:vAlign w:val="center"/>
          </w:tcPr>
          <w:p w14:paraId="13D5BCCD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0C66A754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5AC06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793" w:type="dxa"/>
            <w:noWrap w:val="0"/>
            <w:vAlign w:val="center"/>
          </w:tcPr>
          <w:p w14:paraId="056CE4B2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1</w:t>
            </w: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977" w:type="dxa"/>
            <w:vMerge w:val="continue"/>
            <w:noWrap w:val="0"/>
            <w:vAlign w:val="center"/>
          </w:tcPr>
          <w:p w14:paraId="7BA425C2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7E1970E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嗅觉</w:t>
            </w:r>
          </w:p>
        </w:tc>
        <w:tc>
          <w:tcPr>
            <w:tcW w:w="4417" w:type="dxa"/>
            <w:vMerge w:val="continue"/>
            <w:noWrap w:val="0"/>
            <w:vAlign w:val="top"/>
          </w:tcPr>
          <w:p w14:paraId="4AFB4039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54CE3EFC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6244099B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227CD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3" w:type="dxa"/>
            <w:noWrap w:val="0"/>
            <w:vAlign w:val="center"/>
          </w:tcPr>
          <w:p w14:paraId="46CEC118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default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20</w:t>
            </w:r>
          </w:p>
        </w:tc>
        <w:tc>
          <w:tcPr>
            <w:tcW w:w="977" w:type="dxa"/>
            <w:vMerge w:val="restart"/>
            <w:noWrap w:val="0"/>
            <w:vAlign w:val="center"/>
          </w:tcPr>
          <w:p w14:paraId="24FE6B39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口腔科</w:t>
            </w:r>
          </w:p>
          <w:p w14:paraId="7C2E1AD0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5AEE149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唇腭</w:t>
            </w:r>
          </w:p>
        </w:tc>
        <w:tc>
          <w:tcPr>
            <w:tcW w:w="4417" w:type="dxa"/>
            <w:vMerge w:val="restart"/>
            <w:noWrap w:val="0"/>
            <w:vAlign w:val="center"/>
          </w:tcPr>
          <w:p w14:paraId="3FA7EED3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口腔科检查包括颌面部、牙齿、牙龈、颞颌关节、腮腺、舌唇部等六部分。 主要看牙齿有无龋齿、有无缺失、有无牙结石，牙周炎、牙龈炎,有无颞颌关节病变等。检查口腔粘膜的病变可以筛查口腔癌。通过口腔科的检查，口腔科医生将对牙齿的保健、牙科疾病的防治给予相应的健康指导。</w:t>
            </w:r>
          </w:p>
        </w:tc>
        <w:tc>
          <w:tcPr>
            <w:tcW w:w="1070" w:type="dxa"/>
            <w:noWrap w:val="0"/>
            <w:vAlign w:val="center"/>
          </w:tcPr>
          <w:p w14:paraId="295E46AF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550E55B4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171E8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793" w:type="dxa"/>
            <w:noWrap w:val="0"/>
            <w:vAlign w:val="center"/>
          </w:tcPr>
          <w:p w14:paraId="3011CFC6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2</w:t>
            </w: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77" w:type="dxa"/>
            <w:vMerge w:val="continue"/>
            <w:noWrap w:val="0"/>
            <w:vAlign w:val="center"/>
          </w:tcPr>
          <w:p w14:paraId="4EE3F9E7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5D69985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牙齿</w:t>
            </w:r>
          </w:p>
        </w:tc>
        <w:tc>
          <w:tcPr>
            <w:tcW w:w="4417" w:type="dxa"/>
            <w:vMerge w:val="continue"/>
            <w:noWrap w:val="0"/>
            <w:vAlign w:val="top"/>
          </w:tcPr>
          <w:p w14:paraId="2746758D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70E4B6F7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3341285B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411DA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793" w:type="dxa"/>
            <w:noWrap w:val="0"/>
            <w:vAlign w:val="center"/>
          </w:tcPr>
          <w:p w14:paraId="3CC06E07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2</w:t>
            </w: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977" w:type="dxa"/>
            <w:vMerge w:val="continue"/>
            <w:noWrap w:val="0"/>
            <w:vAlign w:val="center"/>
          </w:tcPr>
          <w:p w14:paraId="3F984BFD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3CBA5C7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扁桃体</w:t>
            </w:r>
          </w:p>
        </w:tc>
        <w:tc>
          <w:tcPr>
            <w:tcW w:w="4417" w:type="dxa"/>
            <w:vMerge w:val="continue"/>
            <w:noWrap w:val="0"/>
            <w:vAlign w:val="top"/>
          </w:tcPr>
          <w:p w14:paraId="4442CE69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4D3E7CC6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61863962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0BAEE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793" w:type="dxa"/>
            <w:noWrap w:val="0"/>
            <w:vAlign w:val="center"/>
          </w:tcPr>
          <w:p w14:paraId="424519D6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2</w:t>
            </w: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977" w:type="dxa"/>
            <w:vMerge w:val="restart"/>
            <w:noWrap w:val="0"/>
            <w:vAlign w:val="center"/>
          </w:tcPr>
          <w:p w14:paraId="01B07139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DR胸片</w:t>
            </w:r>
          </w:p>
          <w:p w14:paraId="3169646A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color w:val="000000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3FB930C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心</w:t>
            </w:r>
          </w:p>
        </w:tc>
        <w:tc>
          <w:tcPr>
            <w:tcW w:w="4417" w:type="dxa"/>
            <w:vMerge w:val="restart"/>
            <w:noWrap w:val="0"/>
            <w:vAlign w:val="center"/>
          </w:tcPr>
          <w:p w14:paraId="4C6DE105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利用数字化X射线摄影系统（DR)，对胸部进行透视检查，可筛查肺炎、肺气肿、胸膜炎、气胸、肺结核、肺癌等病。对心脏、主动脉、纵隔以及胸腔内骨骼的疾病均有诊断价值，是肺部脏器检查的重要体检项目。影像比普通X光机透视更清晰(主要需对结核杆菌检测、肺结核可疑症状筛查，正常可不出片)</w:t>
            </w:r>
          </w:p>
        </w:tc>
        <w:tc>
          <w:tcPr>
            <w:tcW w:w="1070" w:type="dxa"/>
            <w:noWrap w:val="0"/>
            <w:vAlign w:val="center"/>
          </w:tcPr>
          <w:p w14:paraId="03021487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3C7DE7DC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7DB75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noWrap w:val="0"/>
            <w:vAlign w:val="center"/>
          </w:tcPr>
          <w:p w14:paraId="44BA328B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2</w:t>
            </w: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977" w:type="dxa"/>
            <w:vMerge w:val="continue"/>
            <w:noWrap w:val="0"/>
            <w:vAlign w:val="center"/>
          </w:tcPr>
          <w:p w14:paraId="27FE0275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color w:val="000000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7E70A12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肺</w:t>
            </w:r>
          </w:p>
        </w:tc>
        <w:tc>
          <w:tcPr>
            <w:tcW w:w="4417" w:type="dxa"/>
            <w:vMerge w:val="continue"/>
            <w:noWrap w:val="0"/>
            <w:vAlign w:val="top"/>
          </w:tcPr>
          <w:p w14:paraId="19FB0AC9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2B20A4F4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69ACCD78">
            <w:pPr>
              <w:pStyle w:val="6"/>
              <w:widowControl/>
              <w:spacing w:before="0" w:beforeAutospacing="0" w:after="0" w:afterAutospacing="0" w:line="2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39EE1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793" w:type="dxa"/>
            <w:vMerge w:val="restart"/>
            <w:noWrap w:val="0"/>
            <w:vAlign w:val="center"/>
          </w:tcPr>
          <w:p w14:paraId="0E3D6F8E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2</w:t>
            </w: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977" w:type="dxa"/>
            <w:vMerge w:val="restart"/>
            <w:noWrap w:val="0"/>
            <w:vAlign w:val="center"/>
          </w:tcPr>
          <w:p w14:paraId="01D03A8B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化验</w:t>
            </w:r>
          </w:p>
          <w:p w14:paraId="6B11575E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7A96BE2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肝功能(转氨酶)</w:t>
            </w:r>
          </w:p>
        </w:tc>
        <w:tc>
          <w:tcPr>
            <w:tcW w:w="4417" w:type="dxa"/>
            <w:noWrap w:val="0"/>
            <w:vAlign w:val="center"/>
          </w:tcPr>
          <w:p w14:paraId="34C8275F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对急性乙型肝炎、慢性肝炎、HBV携带者、重型肝炎以及肝硬化、肝癌等一系列病毒性肝炎的诊断和分析</w:t>
            </w:r>
          </w:p>
        </w:tc>
        <w:tc>
          <w:tcPr>
            <w:tcW w:w="1070" w:type="dxa"/>
            <w:noWrap w:val="0"/>
            <w:vAlign w:val="center"/>
          </w:tcPr>
          <w:p w14:paraId="55092F79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7AEA727D">
            <w:pPr>
              <w:pStyle w:val="6"/>
              <w:widowControl/>
              <w:spacing w:before="0" w:beforeAutospacing="0" w:after="0" w:afterAutospacing="0" w:line="260" w:lineRule="exact"/>
              <w:jc w:val="both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3DEE9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vMerge w:val="continue"/>
            <w:noWrap w:val="0"/>
            <w:vAlign w:val="center"/>
          </w:tcPr>
          <w:p w14:paraId="30EB8C6E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977" w:type="dxa"/>
            <w:vMerge w:val="continue"/>
            <w:noWrap w:val="0"/>
            <w:vAlign w:val="center"/>
          </w:tcPr>
          <w:p w14:paraId="43CFC669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黑体" w:hAnsi="黑体" w:eastAsia="黑体" w:cs="黑体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09D5618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shd w:val="clear"/>
                <w:lang w:val="en-US" w:eastAsia="zh-CN" w:bidi="ar"/>
              </w:rPr>
              <w:t>乙肝两对半（定性）</w:t>
            </w:r>
          </w:p>
        </w:tc>
        <w:tc>
          <w:tcPr>
            <w:tcW w:w="4417" w:type="dxa"/>
            <w:noWrap w:val="0"/>
            <w:vAlign w:val="center"/>
          </w:tcPr>
          <w:p w14:paraId="662C2830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了解有无乙型肝炎病毒，有无近期感染或感染后状态</w:t>
            </w:r>
          </w:p>
        </w:tc>
        <w:tc>
          <w:tcPr>
            <w:tcW w:w="1070" w:type="dxa"/>
            <w:noWrap w:val="0"/>
            <w:vAlign w:val="center"/>
          </w:tcPr>
          <w:p w14:paraId="6EE35C30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2F517CD1">
            <w:pPr>
              <w:pStyle w:val="6"/>
              <w:widowControl/>
              <w:spacing w:before="0" w:beforeAutospacing="0" w:after="0" w:afterAutospacing="0" w:line="26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648A1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793" w:type="dxa"/>
            <w:noWrap w:val="0"/>
            <w:vAlign w:val="center"/>
          </w:tcPr>
          <w:p w14:paraId="40D7F765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default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26</w:t>
            </w:r>
          </w:p>
        </w:tc>
        <w:tc>
          <w:tcPr>
            <w:tcW w:w="977" w:type="dxa"/>
            <w:noWrap w:val="0"/>
            <w:vAlign w:val="center"/>
          </w:tcPr>
          <w:p w14:paraId="73EB2650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 w:bidi="ar"/>
              </w:rPr>
              <w:t>医学诊断</w:t>
            </w:r>
          </w:p>
        </w:tc>
        <w:tc>
          <w:tcPr>
            <w:tcW w:w="1413" w:type="dxa"/>
            <w:noWrap w:val="0"/>
            <w:vAlign w:val="center"/>
          </w:tcPr>
          <w:p w14:paraId="1967D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PPD实验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（结核菌素实验）</w:t>
            </w:r>
          </w:p>
        </w:tc>
        <w:tc>
          <w:tcPr>
            <w:tcW w:w="4417" w:type="dxa"/>
            <w:noWrap w:val="0"/>
            <w:vAlign w:val="center"/>
          </w:tcPr>
          <w:p w14:paraId="08396B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强阳性反应则表明可能有活动性感染，应进一步检查是否有结构病</w:t>
            </w:r>
          </w:p>
        </w:tc>
        <w:tc>
          <w:tcPr>
            <w:tcW w:w="1070" w:type="dxa"/>
            <w:noWrap w:val="0"/>
            <w:vAlign w:val="center"/>
          </w:tcPr>
          <w:p w14:paraId="3F2E3194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62B96F7D">
            <w:pPr>
              <w:pStyle w:val="6"/>
              <w:widowControl/>
              <w:spacing w:before="0" w:beforeAutospacing="0" w:after="0" w:afterAutospacing="0" w:line="26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33931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793" w:type="dxa"/>
            <w:noWrap w:val="0"/>
            <w:vAlign w:val="center"/>
          </w:tcPr>
          <w:p w14:paraId="3D0973C4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default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27</w:t>
            </w:r>
          </w:p>
        </w:tc>
        <w:tc>
          <w:tcPr>
            <w:tcW w:w="977" w:type="dxa"/>
            <w:noWrap w:val="0"/>
            <w:vAlign w:val="center"/>
          </w:tcPr>
          <w:p w14:paraId="27BE3692">
            <w:pPr>
              <w:widowControl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FF0000"/>
                <w:kern w:val="0"/>
                <w:sz w:val="24"/>
                <w:lang w:val="en-US" w:eastAsia="zh-CN" w:bidi="ar"/>
              </w:rPr>
              <w:t>血型检查</w:t>
            </w:r>
          </w:p>
        </w:tc>
        <w:tc>
          <w:tcPr>
            <w:tcW w:w="1413" w:type="dxa"/>
            <w:noWrap w:val="0"/>
            <w:vAlign w:val="center"/>
          </w:tcPr>
          <w:p w14:paraId="178D4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静脉采血</w:t>
            </w:r>
          </w:p>
        </w:tc>
        <w:tc>
          <w:tcPr>
            <w:tcW w:w="4417" w:type="dxa"/>
            <w:noWrap w:val="0"/>
            <w:vAlign w:val="center"/>
          </w:tcPr>
          <w:p w14:paraId="35F280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血型检查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（非学生自报，需真实采血检查）</w:t>
            </w:r>
          </w:p>
        </w:tc>
        <w:tc>
          <w:tcPr>
            <w:tcW w:w="1070" w:type="dxa"/>
            <w:noWrap w:val="0"/>
            <w:vAlign w:val="center"/>
          </w:tcPr>
          <w:p w14:paraId="4F51E9E5">
            <w:pPr>
              <w:widowControl/>
              <w:spacing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566045B0">
            <w:pPr>
              <w:pStyle w:val="6"/>
              <w:widowControl/>
              <w:spacing w:before="0" w:beforeAutospacing="0" w:after="0" w:afterAutospacing="0" w:line="26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3F36D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93" w:type="dxa"/>
            <w:noWrap w:val="0"/>
            <w:vAlign w:val="center"/>
          </w:tcPr>
          <w:p w14:paraId="71C73775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default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28</w:t>
            </w:r>
          </w:p>
        </w:tc>
        <w:tc>
          <w:tcPr>
            <w:tcW w:w="6807" w:type="dxa"/>
            <w:gridSpan w:val="3"/>
            <w:noWrap w:val="0"/>
            <w:vAlign w:val="top"/>
          </w:tcPr>
          <w:p w14:paraId="26FE884C">
            <w:pPr>
              <w:pStyle w:val="6"/>
              <w:widowControl/>
              <w:spacing w:before="0" w:beforeAutospacing="0" w:after="0" w:afterAutospacing="0" w:line="460" w:lineRule="exact"/>
              <w:ind w:firstLine="502" w:firstLineChars="200"/>
              <w:jc w:val="center"/>
              <w:rPr>
                <w:rFonts w:hint="eastAsia" w:ascii="新宋体" w:hAnsi="新宋体" w:eastAsia="新宋体" w:cs="新宋体"/>
                <w:b/>
                <w:bCs/>
                <w:color w:val="222222"/>
                <w:sz w:val="25"/>
                <w:szCs w:val="25"/>
                <w:shd w:val="clear" w:color="auto" w:fill="FFFF00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color w:val="222222"/>
                <w:sz w:val="25"/>
                <w:szCs w:val="25"/>
                <w:shd w:val="clear" w:color="auto" w:fill="FFFF00"/>
                <w:lang w:eastAsia="zh-CN"/>
              </w:rPr>
              <w:t>套餐优惠价（</w:t>
            </w:r>
            <w:r>
              <w:rPr>
                <w:rFonts w:hint="eastAsia" w:ascii="新宋体" w:hAnsi="新宋体" w:eastAsia="新宋体" w:cs="新宋体"/>
                <w:b/>
                <w:bCs/>
                <w:color w:val="222222"/>
                <w:sz w:val="25"/>
                <w:szCs w:val="25"/>
                <w:shd w:val="clear" w:color="auto" w:fill="FFFF00"/>
                <w:lang w:val="en-US" w:eastAsia="zh-CN"/>
              </w:rPr>
              <w:t xml:space="preserve">    </w:t>
            </w:r>
            <w:r>
              <w:rPr>
                <w:rFonts w:hint="eastAsia" w:ascii="新宋体" w:hAnsi="新宋体" w:eastAsia="新宋体" w:cs="新宋体"/>
                <w:b/>
                <w:bCs/>
                <w:color w:val="222222"/>
                <w:sz w:val="25"/>
                <w:szCs w:val="25"/>
                <w:shd w:val="clear" w:color="auto" w:fill="FFFF00"/>
                <w:lang w:eastAsia="zh-CN"/>
              </w:rPr>
              <w:t>元</w:t>
            </w:r>
            <w:r>
              <w:rPr>
                <w:rFonts w:hint="eastAsia" w:ascii="新宋体" w:hAnsi="新宋体" w:eastAsia="新宋体" w:cs="新宋体"/>
                <w:b/>
                <w:bCs/>
                <w:color w:val="222222"/>
                <w:sz w:val="25"/>
                <w:szCs w:val="25"/>
                <w:shd w:val="clear" w:color="auto" w:fill="FFFF00"/>
                <w:lang w:val="en-US" w:eastAsia="zh-CN"/>
              </w:rPr>
              <w:t>/人</w:t>
            </w:r>
            <w:r>
              <w:rPr>
                <w:rFonts w:hint="eastAsia" w:ascii="新宋体" w:hAnsi="新宋体" w:eastAsia="新宋体" w:cs="新宋体"/>
                <w:b/>
                <w:bCs/>
                <w:color w:val="222222"/>
                <w:sz w:val="25"/>
                <w:szCs w:val="25"/>
                <w:shd w:val="clear" w:color="auto" w:fill="FFFF00"/>
                <w:lang w:eastAsia="zh-CN"/>
              </w:rPr>
              <w:t>）</w:t>
            </w:r>
          </w:p>
        </w:tc>
        <w:tc>
          <w:tcPr>
            <w:tcW w:w="1070" w:type="dxa"/>
            <w:noWrap w:val="0"/>
            <w:vAlign w:val="top"/>
          </w:tcPr>
          <w:p w14:paraId="3DA0FEE7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7B1D1B57">
            <w:pPr>
              <w:pStyle w:val="6"/>
              <w:widowControl/>
              <w:spacing w:before="0" w:beforeAutospacing="0" w:after="0" w:afterAutospacing="0" w:line="260" w:lineRule="exact"/>
              <w:jc w:val="both"/>
              <w:rPr>
                <w:rFonts w:hint="eastAsia" w:ascii="新宋体" w:hAnsi="新宋体" w:eastAsia="新宋体" w:cs="新宋体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1"/>
                <w:szCs w:val="21"/>
                <w:shd w:val="clear" w:color="auto" w:fill="FFFFFF"/>
              </w:rPr>
              <w:t>含发票</w:t>
            </w:r>
          </w:p>
        </w:tc>
      </w:tr>
      <w:tr w14:paraId="12B41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noWrap w:val="0"/>
            <w:vAlign w:val="center"/>
          </w:tcPr>
          <w:p w14:paraId="2FC59A9B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default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29</w:t>
            </w:r>
          </w:p>
        </w:tc>
        <w:tc>
          <w:tcPr>
            <w:tcW w:w="6807" w:type="dxa"/>
            <w:gridSpan w:val="3"/>
            <w:noWrap w:val="0"/>
            <w:vAlign w:val="top"/>
          </w:tcPr>
          <w:p w14:paraId="0D3E35CE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体检</w:t>
            </w: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需要</w:t>
            </w: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周期</w:t>
            </w: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（</w:t>
            </w: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 xml:space="preserve">     </w:t>
            </w: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天）</w:t>
            </w:r>
          </w:p>
        </w:tc>
        <w:tc>
          <w:tcPr>
            <w:tcW w:w="1070" w:type="dxa"/>
            <w:noWrap w:val="0"/>
            <w:vAlign w:val="top"/>
          </w:tcPr>
          <w:p w14:paraId="2DD3E71E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58D2DEBD">
            <w:pPr>
              <w:pStyle w:val="6"/>
              <w:widowControl/>
              <w:spacing w:before="0" w:beforeAutospacing="0" w:after="0" w:afterAutospacing="0" w:line="260" w:lineRule="exact"/>
              <w:rPr>
                <w:rFonts w:hint="eastAsia" w:ascii="新宋体" w:hAnsi="新宋体" w:eastAsia="新宋体" w:cs="新宋体"/>
                <w:color w:val="222222"/>
                <w:sz w:val="21"/>
                <w:szCs w:val="21"/>
                <w:shd w:val="clear" w:color="auto" w:fill="FFFFFF"/>
              </w:rPr>
            </w:pPr>
          </w:p>
        </w:tc>
      </w:tr>
      <w:tr w14:paraId="2578D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noWrap w:val="0"/>
            <w:vAlign w:val="center"/>
          </w:tcPr>
          <w:p w14:paraId="1885E91C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default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30</w:t>
            </w:r>
          </w:p>
        </w:tc>
        <w:tc>
          <w:tcPr>
            <w:tcW w:w="6807" w:type="dxa"/>
            <w:gridSpan w:val="3"/>
            <w:noWrap w:val="0"/>
            <w:vAlign w:val="top"/>
          </w:tcPr>
          <w:p w14:paraId="49822360">
            <w:pPr>
              <w:pStyle w:val="6"/>
              <w:widowControl/>
              <w:spacing w:before="0" w:beforeAutospacing="0" w:after="0" w:afterAutospacing="0" w:line="460" w:lineRule="exact"/>
              <w:jc w:val="center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体检结果送承时间（</w:t>
            </w: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 xml:space="preserve">       </w:t>
            </w: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  <w:t>天）</w:t>
            </w:r>
          </w:p>
        </w:tc>
        <w:tc>
          <w:tcPr>
            <w:tcW w:w="1070" w:type="dxa"/>
            <w:noWrap w:val="0"/>
            <w:vAlign w:val="top"/>
          </w:tcPr>
          <w:p w14:paraId="40EFE54F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1350" w:type="dxa"/>
            <w:noWrap w:val="0"/>
            <w:vAlign w:val="top"/>
          </w:tcPr>
          <w:p w14:paraId="61ECD5C0">
            <w:pPr>
              <w:pStyle w:val="6"/>
              <w:widowControl/>
              <w:spacing w:before="0" w:beforeAutospacing="0" w:after="0" w:afterAutospacing="0" w:line="460" w:lineRule="exact"/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</w:rPr>
            </w:pPr>
          </w:p>
        </w:tc>
      </w:tr>
      <w:tr w14:paraId="4509E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0" w:type="dxa"/>
            <w:gridSpan w:val="6"/>
            <w:noWrap w:val="0"/>
            <w:vAlign w:val="center"/>
          </w:tcPr>
          <w:p w14:paraId="2D3C64A4">
            <w:pPr>
              <w:pStyle w:val="6"/>
              <w:widowControl/>
              <w:spacing w:before="0" w:beforeAutospacing="0" w:after="0" w:afterAutospacing="0" w:line="460" w:lineRule="exact"/>
              <w:rPr>
                <w:rFonts w:hint="default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eastAsia="zh-CN"/>
              </w:rPr>
              <w:t>备注：拟</w:t>
            </w:r>
            <w:r>
              <w:rPr>
                <w:rFonts w:hint="eastAsia" w:ascii="新宋体" w:hAnsi="新宋体" w:eastAsia="新宋体" w:cs="新宋体"/>
                <w:color w:val="222222"/>
                <w:sz w:val="25"/>
                <w:szCs w:val="25"/>
                <w:shd w:val="clear" w:color="auto" w:fill="FFFFFF"/>
                <w:lang w:val="en-US" w:eastAsia="zh-CN"/>
              </w:rPr>
              <w:t>9月上旬体检，需满足体检时间需求。</w:t>
            </w:r>
          </w:p>
        </w:tc>
      </w:tr>
    </w:tbl>
    <w:p w14:paraId="740E9CCF">
      <w:pPr>
        <w:pStyle w:val="8"/>
        <w:ind w:left="0" w:leftChars="0" w:firstLine="0" w:firstLineChars="0"/>
        <w:rPr>
          <w:rFonts w:hint="default"/>
          <w:lang w:val="en-US" w:eastAsia="zh-CN"/>
        </w:rPr>
      </w:pPr>
    </w:p>
    <w:p w14:paraId="2E7FC6F4">
      <w:pPr>
        <w:pStyle w:val="8"/>
        <w:ind w:left="0" w:leftChars="0" w:firstLine="0" w:firstLineChars="0"/>
        <w:rPr>
          <w:rFonts w:hint="default"/>
          <w:lang w:val="en-US" w:eastAsia="zh-CN"/>
        </w:rPr>
      </w:pPr>
    </w:p>
    <w:p w14:paraId="13535653">
      <w:pPr>
        <w:pStyle w:val="8"/>
        <w:ind w:left="0" w:leftChars="0" w:firstLine="0" w:firstLineChars="0"/>
        <w:rPr>
          <w:rFonts w:hint="default"/>
          <w:lang w:val="en-US" w:eastAsia="zh-CN"/>
        </w:rPr>
      </w:pPr>
    </w:p>
    <w:p w14:paraId="1CE114C9">
      <w:pPr>
        <w:pStyle w:val="8"/>
        <w:ind w:left="0" w:leftChars="0" w:firstLine="0" w:firstLineChars="0"/>
        <w:rPr>
          <w:rFonts w:hint="default"/>
          <w:lang w:val="en-US" w:eastAsia="zh-CN"/>
        </w:rPr>
      </w:pPr>
    </w:p>
    <w:p w14:paraId="6C6303AA">
      <w:pPr>
        <w:pStyle w:val="8"/>
        <w:ind w:left="0" w:leftChars="0" w:firstLine="0" w:firstLineChars="0"/>
        <w:rPr>
          <w:rFonts w:hint="default"/>
          <w:lang w:val="en-US" w:eastAsia="zh-CN"/>
        </w:rPr>
      </w:pPr>
    </w:p>
    <w:p w14:paraId="163D5A46">
      <w:pPr>
        <w:pStyle w:val="8"/>
        <w:ind w:left="0" w:leftChars="0" w:firstLine="0" w:firstLineChars="0"/>
        <w:rPr>
          <w:rFonts w:hint="default"/>
          <w:lang w:val="en-US" w:eastAsia="zh-CN"/>
        </w:rPr>
      </w:pPr>
    </w:p>
    <w:p w14:paraId="02A6F1C1">
      <w:pPr>
        <w:pStyle w:val="8"/>
        <w:ind w:left="0" w:leftChars="0" w:firstLine="0" w:firstLineChars="0"/>
        <w:rPr>
          <w:rFonts w:hint="default"/>
          <w:lang w:val="en-US" w:eastAsia="zh-CN"/>
        </w:rPr>
      </w:pPr>
    </w:p>
    <w:p w14:paraId="057C457E">
      <w:pPr>
        <w:pStyle w:val="8"/>
        <w:ind w:left="0" w:leftChars="0" w:firstLine="0" w:firstLineChars="0"/>
        <w:rPr>
          <w:rFonts w:hint="default"/>
          <w:lang w:val="en-US" w:eastAsia="zh-CN"/>
        </w:rPr>
      </w:pPr>
    </w:p>
    <w:p w14:paraId="34F97DB1"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FangSong_GB2312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744A08"/>
    <w:multiLevelType w:val="multilevel"/>
    <w:tmpl w:val="1F744A08"/>
    <w:lvl w:ilvl="0" w:tentative="0">
      <w:start w:val="1"/>
      <w:numFmt w:val="bullet"/>
      <w:pStyle w:val="11"/>
      <w:lvlText w:val=""/>
      <w:lvlJc w:val="left"/>
      <w:pPr>
        <w:tabs>
          <w:tab w:val="left" w:pos="1140"/>
        </w:tabs>
        <w:ind w:left="11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"/>
      <w:lvlJc w:val="left"/>
      <w:pPr>
        <w:tabs>
          <w:tab w:val="left" w:pos="1560"/>
        </w:tabs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980"/>
        </w:tabs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400"/>
        </w:tabs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820"/>
        </w:tabs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240"/>
        </w:tabs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660"/>
        </w:tabs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080"/>
        </w:tabs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500"/>
        </w:tabs>
        <w:ind w:left="450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kZWEwYjc3ZjU0NTk3MTZjMGQwMGQwN2RkMDczMzMifQ=="/>
  </w:docVars>
  <w:rsids>
    <w:rsidRoot w:val="45CC7326"/>
    <w:rsid w:val="05512DA2"/>
    <w:rsid w:val="1D0D05D6"/>
    <w:rsid w:val="45CC7326"/>
    <w:rsid w:val="475F642A"/>
    <w:rsid w:val="589B38BE"/>
    <w:rsid w:val="5C474C2C"/>
    <w:rsid w:val="75771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ody Text Indent"/>
    <w:basedOn w:val="1"/>
    <w:next w:val="5"/>
    <w:unhideWhenUsed/>
    <w:qFormat/>
    <w:uiPriority w:val="0"/>
    <w:pPr>
      <w:ind w:firstLine="645"/>
    </w:pPr>
    <w:rPr>
      <w:rFonts w:ascii="@FangSong_GB2312" w:hAnsi="@FangSong_GB2312" w:eastAsia="@FangSong_GB2312"/>
      <w:kern w:val="0"/>
      <w:sz w:val="32"/>
      <w:szCs w:val="20"/>
    </w:rPr>
  </w:style>
  <w:style w:type="paragraph" w:styleId="5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paragraph" w:styleId="7">
    <w:name w:val="Body Text First Indent"/>
    <w:basedOn w:val="2"/>
    <w:next w:val="1"/>
    <w:qFormat/>
    <w:uiPriority w:val="0"/>
    <w:pPr>
      <w:ind w:firstLine="420" w:firstLineChars="100"/>
    </w:pPr>
  </w:style>
  <w:style w:type="paragraph" w:styleId="8">
    <w:name w:val="Body Text First Indent 2"/>
    <w:basedOn w:val="4"/>
    <w:next w:val="7"/>
    <w:qFormat/>
    <w:uiPriority w:val="0"/>
    <w:pPr>
      <w:spacing w:line="360" w:lineRule="auto"/>
      <w:ind w:firstLine="200" w:firstLineChars="200"/>
    </w:pPr>
    <w:rPr>
      <w:rFonts w:ascii="宋体"/>
      <w:szCs w:val="20"/>
    </w:rPr>
  </w:style>
  <w:style w:type="paragraph" w:customStyle="1" w:styleId="11">
    <w:name w:val="报告正文"/>
    <w:basedOn w:val="2"/>
    <w:autoRedefine/>
    <w:qFormat/>
    <w:uiPriority w:val="0"/>
    <w:pPr>
      <w:numPr>
        <w:ilvl w:val="0"/>
        <w:numId w:val="1"/>
      </w:numPr>
      <w:tabs>
        <w:tab w:val="left" w:pos="1260"/>
        <w:tab w:val="clear" w:pos="1140"/>
      </w:tabs>
      <w:adjustRightInd w:val="0"/>
      <w:spacing w:after="0" w:line="360" w:lineRule="auto"/>
      <w:ind w:left="1260" w:right="240" w:rightChars="100"/>
      <w:textAlignment w:val="baseline"/>
    </w:pPr>
    <w:rPr>
      <w:sz w:val="24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1668</Words>
  <Characters>1708</Characters>
  <Lines>0</Lines>
  <Paragraphs>0</Paragraphs>
  <TotalTime>5</TotalTime>
  <ScaleCrop>false</ScaleCrop>
  <LinksUpToDate>false</LinksUpToDate>
  <CharactersWithSpaces>1934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2024-07-15T06:16:00Z</dcterms:created>
  <dc:creator>千里草1403852088</dc:creator>
  <cp:lastModifiedBy>WPS_1489995861</cp:lastModifiedBy>
  <dcterms:modified xsi:type="dcterms:W3CDTF">2025-05-19T00:59:28Z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3117819F8542467C826D63AFBA1B4A99_13</vt:lpwstr>
  </property>
  <property fmtid="{D5CDD505-2E9C-101B-9397-08002B2CF9AE}" pid="4" name="KSOTemplateDocerSaveRecord">
    <vt:lpwstr>eyJoZGlkIjoiN2IwODg2ODMxNDUwNmVlMWViZTI4OTVjOWMyYjhlNmMiLCJ1c2VySWQiOiIyNzA0MjI1NTAifQ==</vt:lpwstr>
  </property>
</Properties>
</file>